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3C" w:rsidRPr="008573A4" w:rsidRDefault="00160C3C" w:rsidP="00136128">
      <w:pPr>
        <w:spacing w:after="0" w:line="240" w:lineRule="auto"/>
        <w:rPr>
          <w:rFonts w:ascii="Times New Roman" w:eastAsia="Times New Roman" w:hAnsi="Times New Roman" w:cs="Times New Roman"/>
          <w:sz w:val="30"/>
          <w:szCs w:val="30"/>
          <w:lang w:eastAsia="ru-RU"/>
        </w:rPr>
      </w:pPr>
      <w:bookmarkStart w:id="0" w:name="_GoBack"/>
      <w:bookmarkEnd w:id="0"/>
      <w:r w:rsidRPr="008573A4">
        <w:rPr>
          <w:rFonts w:ascii="Times New Roman" w:eastAsia="Times New Roman" w:hAnsi="Times New Roman" w:cs="Times New Roman"/>
          <w:sz w:val="30"/>
          <w:szCs w:val="30"/>
          <w:lang w:eastAsia="ru-RU"/>
        </w:rPr>
        <w:t>МАТЕРИАЛЫ</w:t>
      </w:r>
    </w:p>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для членов информационно-пропагандистских групп</w:t>
      </w:r>
    </w:p>
    <w:p w:rsidR="00160C3C" w:rsidRPr="008573A4"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sz w:val="30"/>
          <w:szCs w:val="30"/>
          <w:lang w:eastAsia="ru-RU"/>
        </w:rPr>
        <w:t>(</w:t>
      </w:r>
      <w:r w:rsidR="00136128" w:rsidRPr="008573A4">
        <w:rPr>
          <w:rFonts w:ascii="Times New Roman" w:eastAsia="Times New Roman" w:hAnsi="Times New Roman" w:cs="Times New Roman"/>
          <w:sz w:val="30"/>
          <w:szCs w:val="30"/>
          <w:lang w:eastAsia="ru-RU"/>
        </w:rPr>
        <w:t>апрель</w:t>
      </w:r>
      <w:r w:rsidRPr="008573A4">
        <w:rPr>
          <w:rFonts w:ascii="Times New Roman" w:eastAsia="Times New Roman" w:hAnsi="Times New Roman" w:cs="Times New Roman"/>
          <w:sz w:val="30"/>
          <w:szCs w:val="30"/>
          <w:lang w:eastAsia="ru-RU"/>
        </w:rPr>
        <w:t xml:space="preserve"> 202</w:t>
      </w:r>
      <w:r w:rsidR="00402549" w:rsidRPr="008573A4">
        <w:rPr>
          <w:rFonts w:ascii="Times New Roman" w:eastAsia="Times New Roman" w:hAnsi="Times New Roman" w:cs="Times New Roman"/>
          <w:sz w:val="30"/>
          <w:szCs w:val="30"/>
          <w:lang w:eastAsia="ru-RU"/>
        </w:rPr>
        <w:t>1</w:t>
      </w:r>
      <w:r w:rsidRPr="008573A4">
        <w:rPr>
          <w:rFonts w:ascii="Times New Roman" w:eastAsia="Times New Roman" w:hAnsi="Times New Roman" w:cs="Times New Roman"/>
          <w:sz w:val="30"/>
          <w:szCs w:val="30"/>
          <w:lang w:eastAsia="ru-RU"/>
        </w:rPr>
        <w:t xml:space="preserve"> г.)</w:t>
      </w:r>
    </w:p>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БелТА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А.Г.Лукашенко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w:t>
      </w:r>
      <w:r w:rsidR="00361333" w:rsidRPr="008573A4">
        <w:rPr>
          <w:rFonts w:ascii="Times New Roman" w:eastAsia="Times New Roman" w:hAnsi="Times New Roman" w:cs="Times New Roman"/>
          <w:bCs/>
          <w:i/>
          <w:color w:val="000000" w:themeColor="text1"/>
          <w:sz w:val="30"/>
          <w:szCs w:val="30"/>
          <w:lang w:eastAsia="ru-RU"/>
        </w:rPr>
        <w:lastRenderedPageBreak/>
        <w:t xml:space="preserve">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w:t>
      </w:r>
      <w:r w:rsidR="000F366D" w:rsidRPr="008573A4">
        <w:rPr>
          <w:rFonts w:ascii="Times New Roman" w:eastAsia="Times New Roman" w:hAnsi="Times New Roman" w:cs="Times New Roman"/>
          <w:bCs/>
          <w:color w:val="000000" w:themeColor="text1"/>
          <w:sz w:val="30"/>
          <w:szCs w:val="30"/>
          <w:lang w:eastAsia="ru-RU"/>
        </w:rPr>
        <w:lastRenderedPageBreak/>
        <w:t xml:space="preserve">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w:t>
      </w:r>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руси. Генерал армии Д.Г.</w:t>
      </w:r>
      <w:r w:rsidRPr="008573A4">
        <w:rPr>
          <w:rFonts w:ascii="Times New Roman" w:eastAsia="Times New Roman" w:hAnsi="Times New Roman" w:cs="Times New Roman"/>
          <w:bCs/>
          <w:color w:val="000000" w:themeColor="text1"/>
          <w:sz w:val="30"/>
          <w:szCs w:val="30"/>
          <w:lang w:eastAsia="ru-RU"/>
        </w:rPr>
        <w:t>Павлов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дующим был назначен маршал С.К.</w:t>
      </w:r>
      <w:r w:rsidRPr="008573A4">
        <w:rPr>
          <w:rFonts w:ascii="Times New Roman" w:eastAsia="Times New Roman" w:hAnsi="Times New Roman" w:cs="Times New Roman"/>
          <w:bCs/>
          <w:color w:val="000000" w:themeColor="text1"/>
          <w:sz w:val="30"/>
          <w:szCs w:val="30"/>
          <w:lang w:eastAsia="ru-RU"/>
        </w:rPr>
        <w:t xml:space="preserve">Тимошенко.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r w:rsidRPr="008573A4">
        <w:rPr>
          <w:rFonts w:ascii="Times New Roman" w:eastAsia="Times New Roman" w:hAnsi="Times New Roman" w:cs="Times New Roman"/>
          <w:bCs/>
          <w:color w:val="000000" w:themeColor="text1"/>
          <w:sz w:val="30"/>
          <w:szCs w:val="30"/>
          <w:lang w:eastAsia="ru-RU"/>
        </w:rPr>
        <w:t xml:space="preserve">мехкорпуса,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Справочно.</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рейхсфюрера СС Гиммлера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оберефрейтора вермахта 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Дальва, Озаричи, Шуневка, Тростенец...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Минске и окрестностях было 9 лагерей, в которых уничтожено более 400 тыс. чел.: лагерь смерти Тростенец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Масюковщина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«Магутны Божа».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Н.Арсеньевой,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r w:rsidR="007D12E6" w:rsidRPr="008573A4">
        <w:rPr>
          <w:rFonts w:ascii="Times New Roman" w:eastAsia="Calibri" w:hAnsi="Times New Roman" w:cs="Times New Roman"/>
          <w:i/>
          <w:color w:val="000000" w:themeColor="text1"/>
          <w:spacing w:val="-4"/>
          <w:sz w:val="30"/>
          <w:szCs w:val="30"/>
        </w:rPr>
        <w:t xml:space="preserve"> </w:t>
      </w:r>
      <w:r w:rsidR="00944721" w:rsidRPr="008573A4">
        <w:rPr>
          <w:rFonts w:ascii="Times New Roman" w:eastAsia="Calibri" w:hAnsi="Times New Roman" w:cs="Times New Roman"/>
          <w:i/>
          <w:color w:val="000000" w:themeColor="text1"/>
          <w:spacing w:val="-4"/>
          <w:sz w:val="30"/>
          <w:szCs w:val="30"/>
        </w:rPr>
        <w:t>газетай</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автора – Ф.Кушель</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формирования для антипартизанских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«Припятские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«Бамберг»</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«Коттбус»</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«Ваффен-СС»,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Более того, с подачи музея оккупации Латвии 23 сентября 2018 г. в г.Зедельгем (Бельгия) открыт памятник латышским легионерам «Ваффен-СС»,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в школе, где учился бывший сержант СС 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еления) А.Раманаускаса-Ванагаса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А.Раманаускаса-Ванагаса».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Калеви-Лийва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2018 г. в селе Лисметса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78-й годовщины Хатынской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Еще ранее, 18 марта 2021 г., 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r w:rsidRPr="008573A4">
        <w:rPr>
          <w:rFonts w:ascii="Times New Roman" w:hAnsi="Times New Roman" w:cs="Times New Roman"/>
          <w:b/>
          <w:i/>
          <w:sz w:val="28"/>
          <w:szCs w:val="28"/>
        </w:rPr>
        <w:t>Справочно.</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Р.Райса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Белостоке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 xml:space="preserve">Райса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r w:rsidRPr="008573A4">
        <w:rPr>
          <w:rFonts w:ascii="Times New Roman" w:hAnsi="Times New Roman" w:cs="Times New Roman"/>
          <w:i/>
          <w:sz w:val="28"/>
          <w:szCs w:val="28"/>
        </w:rPr>
        <w:t xml:space="preserve">Тимофеюк.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«Менская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8573A4">
        <w:rPr>
          <w:rFonts w:ascii="Times New Roman" w:hAnsi="Times New Roman" w:cs="Times New Roman"/>
          <w:i/>
          <w:sz w:val="30"/>
          <w:szCs w:val="30"/>
        </w:rPr>
        <w:t>уляйтер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А.Г.Лукашенко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д.Костелище 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узыку к нему написал белорусский композитор Н.Ф.Соколовский, а слова – белорусские поэты М.Н.Климкович и В.И.Каризно.</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4F538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2F" w:rsidRDefault="001F5A2F" w:rsidP="00143FB5">
      <w:pPr>
        <w:spacing w:after="0" w:line="240" w:lineRule="auto"/>
      </w:pPr>
      <w:r>
        <w:separator/>
      </w:r>
    </w:p>
  </w:endnote>
  <w:endnote w:type="continuationSeparator" w:id="0">
    <w:p w:rsidR="001F5A2F" w:rsidRDefault="001F5A2F"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2F" w:rsidRDefault="001F5A2F" w:rsidP="00143FB5">
      <w:pPr>
        <w:spacing w:after="0" w:line="240" w:lineRule="auto"/>
      </w:pPr>
      <w:r>
        <w:separator/>
      </w:r>
    </w:p>
  </w:footnote>
  <w:footnote w:type="continuationSeparator" w:id="0">
    <w:p w:rsidR="001F5A2F" w:rsidRDefault="001F5A2F"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163FD1">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3FD1"/>
    <w:rsid w:val="00166FFD"/>
    <w:rsid w:val="00167A9E"/>
    <w:rsid w:val="00184D12"/>
    <w:rsid w:val="0019799A"/>
    <w:rsid w:val="001B4C93"/>
    <w:rsid w:val="001C0783"/>
    <w:rsid w:val="001C41C4"/>
    <w:rsid w:val="001D5058"/>
    <w:rsid w:val="001F041A"/>
    <w:rsid w:val="001F5A2F"/>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55D84"/>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65E6"/>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D334-3682-42D4-B8AC-A75F73FA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user</cp:lastModifiedBy>
  <cp:revision>2</cp:revision>
  <cp:lastPrinted>2021-04-07T05:43:00Z</cp:lastPrinted>
  <dcterms:created xsi:type="dcterms:W3CDTF">2021-04-13T07:00:00Z</dcterms:created>
  <dcterms:modified xsi:type="dcterms:W3CDTF">2021-04-13T07:00:00Z</dcterms:modified>
</cp:coreProperties>
</file>